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C3" w:rsidRPr="00BE24C3" w:rsidRDefault="00BE24C3" w:rsidP="00BE24C3">
      <w:pP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ab/>
        <w:t xml:space="preserve">                                      </w:t>
      </w:r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«Утверждаю»</w:t>
      </w:r>
    </w:p>
    <w:p w:rsidR="00BE24C3" w:rsidRPr="00BE24C3" w:rsidRDefault="00BE24C3" w:rsidP="00BE24C3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Директор МБОУ «</w:t>
      </w:r>
      <w:proofErr w:type="spellStart"/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Кушманская</w:t>
      </w:r>
      <w:proofErr w:type="spellEnd"/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ООШ»</w:t>
      </w:r>
    </w:p>
    <w:p w:rsidR="00BE24C3" w:rsidRPr="00BE24C3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proofErr w:type="spellStart"/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Ф.Ф.Гиниятуллин</w:t>
      </w:r>
      <w:proofErr w:type="spellEnd"/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</w:p>
    <w:p w:rsidR="00BE24C3" w:rsidRPr="00415736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</w:t>
      </w:r>
      <w:r w:rsidR="00E1397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65  от</w:t>
      </w:r>
      <w:proofErr w:type="gramEnd"/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«15» сентября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2020 г</w:t>
      </w:r>
      <w:r w:rsidR="00BE24C3" w:rsidRPr="00BE24C3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415736" w:rsidRDefault="00415736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E24C3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 w:rsidR="00BE24C3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BE24C3">
        <w:rPr>
          <w:rFonts w:ascii="Times New Roman" w:hAnsi="Times New Roman"/>
          <w:b/>
          <w:sz w:val="26"/>
          <w:szCs w:val="26"/>
        </w:rPr>
        <w:t>в  МБОУ</w:t>
      </w:r>
      <w:proofErr w:type="gramEnd"/>
      <w:r w:rsidR="00BE24C3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="00BE24C3">
        <w:rPr>
          <w:rFonts w:ascii="Times New Roman" w:hAnsi="Times New Roman"/>
          <w:b/>
          <w:sz w:val="26"/>
          <w:szCs w:val="26"/>
        </w:rPr>
        <w:t>Кушманская</w:t>
      </w:r>
      <w:proofErr w:type="spellEnd"/>
      <w:r w:rsidR="00BE24C3">
        <w:rPr>
          <w:rFonts w:ascii="Times New Roman" w:hAnsi="Times New Roman"/>
          <w:b/>
          <w:sz w:val="26"/>
          <w:szCs w:val="26"/>
        </w:rPr>
        <w:t xml:space="preserve"> ООШ»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ая организация (МБОУ </w:t>
      </w:r>
      <w:proofErr w:type="spellStart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Кушманская</w:t>
      </w:r>
      <w:proofErr w:type="spellEnd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ООШ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МБОУ </w:t>
      </w:r>
      <w:proofErr w:type="spellStart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Кушманская</w:t>
      </w:r>
      <w:proofErr w:type="spellEnd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ООШ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котором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(спортивный зал, 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5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организация здорового досуга обучающихся;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спортивный зал и спортивная</w:t>
      </w:r>
      <w:r w:rsidRPr="0032021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20215">
        <w:rPr>
          <w:rFonts w:ascii="Times New Roman" w:hAnsi="Times New Roman"/>
          <w:sz w:val="26"/>
          <w:szCs w:val="26"/>
        </w:rPr>
        <w:t>пл</w:t>
      </w:r>
      <w:r w:rsidR="00BE24C3">
        <w:rPr>
          <w:rFonts w:ascii="Times New Roman" w:hAnsi="Times New Roman"/>
          <w:sz w:val="26"/>
          <w:szCs w:val="26"/>
        </w:rPr>
        <w:t>ощадка</w:t>
      </w:r>
      <w:r w:rsidR="00A55B47">
        <w:rPr>
          <w:rFonts w:ascii="Times New Roman" w:hAnsi="Times New Roman"/>
          <w:sz w:val="26"/>
          <w:szCs w:val="26"/>
        </w:rPr>
        <w:t xml:space="preserve">  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</w:t>
      </w:r>
      <w:proofErr w:type="gramEnd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Кушманская</w:t>
      </w:r>
      <w:proofErr w:type="spellEnd"/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ООШ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48"/>
    <w:rsid w:val="00167862"/>
    <w:rsid w:val="001813C7"/>
    <w:rsid w:val="00256B19"/>
    <w:rsid w:val="00366F41"/>
    <w:rsid w:val="00415736"/>
    <w:rsid w:val="004555F4"/>
    <w:rsid w:val="00785D9A"/>
    <w:rsid w:val="007A5772"/>
    <w:rsid w:val="00984848"/>
    <w:rsid w:val="00A55B47"/>
    <w:rsid w:val="00B26B4D"/>
    <w:rsid w:val="00BA2D91"/>
    <w:rsid w:val="00BE24C3"/>
    <w:rsid w:val="00E1397B"/>
    <w:rsid w:val="00F66DCC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304C"/>
  <w15:docId w15:val="{4F7BB679-4BA9-456E-852C-D912D5E6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portivnij_inventarmz/" TargetMode="Externa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</cp:lastModifiedBy>
  <cp:revision>3</cp:revision>
  <dcterms:created xsi:type="dcterms:W3CDTF">2020-10-23T07:26:00Z</dcterms:created>
  <dcterms:modified xsi:type="dcterms:W3CDTF">2020-10-23T08:35:00Z</dcterms:modified>
</cp:coreProperties>
</file>